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1D" w:rsidRDefault="00FD0762">
      <w:r>
        <w:t>NICHOLS PATRICK WEEKLY TAX UPDATE</w:t>
      </w:r>
    </w:p>
    <w:p w:rsidR="00621D0D" w:rsidRDefault="00621D0D">
      <w:r>
        <w:t>May 12, 2014</w:t>
      </w:r>
    </w:p>
    <w:p w:rsidR="00FD0762" w:rsidRDefault="00FD0762">
      <w:r>
        <w:t>With E. Lynn Nichols, CPA</w:t>
      </w:r>
    </w:p>
    <w:p w:rsidR="00FD0762" w:rsidRDefault="00FD0762"/>
    <w:p w:rsidR="00FD0762" w:rsidRDefault="00FD0762">
      <w:r>
        <w:t>C</w:t>
      </w:r>
      <w:r w:rsidR="00D009F6">
        <w:t>ITATION</w:t>
      </w:r>
      <w:r>
        <w:t>S</w:t>
      </w:r>
    </w:p>
    <w:p w:rsidR="00FD0762" w:rsidRDefault="00FD0762"/>
    <w:p w:rsidR="00421753" w:rsidRPr="0064087B" w:rsidRDefault="00421753" w:rsidP="00421753">
      <w:pPr>
        <w:pStyle w:val="ListParagraph"/>
        <w:numPr>
          <w:ilvl w:val="0"/>
          <w:numId w:val="1"/>
        </w:numPr>
        <w:rPr>
          <w:b/>
        </w:rPr>
      </w:pPr>
      <w:r w:rsidRPr="0064087B">
        <w:rPr>
          <w:b/>
        </w:rPr>
        <w:t>Rehabilitation of Contiguous Properties Is Single Project</w:t>
      </w:r>
    </w:p>
    <w:p w:rsidR="00421753" w:rsidRDefault="00421753" w:rsidP="00421753">
      <w:pPr>
        <w:pStyle w:val="ListParagraph"/>
        <w:ind w:left="360"/>
      </w:pPr>
      <w:r>
        <w:t>(</w:t>
      </w:r>
      <w:proofErr w:type="spellStart"/>
      <w:r w:rsidR="00870A37" w:rsidRPr="00870A37">
        <w:t>LTR</w:t>
      </w:r>
      <w:proofErr w:type="spellEnd"/>
      <w:r w:rsidR="00870A37" w:rsidRPr="00870A37">
        <w:t xml:space="preserve"> 201418035</w:t>
      </w:r>
      <w:r w:rsidR="00870A37">
        <w:t>; 5/2/2014)</w:t>
      </w:r>
    </w:p>
    <w:p w:rsidR="00421753" w:rsidRPr="00421753" w:rsidRDefault="00421753" w:rsidP="00421753">
      <w:pPr>
        <w:pStyle w:val="ListParagraph"/>
        <w:ind w:left="360"/>
      </w:pPr>
      <w:r w:rsidRPr="00421753">
        <w:t xml:space="preserve">The IRS ruled that the rehabilitation of contiguous properties should be treated as part of the same project and, therefore, considered one property for purposes of the rehabilitation tax credit and application of section 168(h)(1)(B). </w:t>
      </w:r>
    </w:p>
    <w:p w:rsidR="00FD0762" w:rsidRDefault="00FD0762" w:rsidP="00FD0762">
      <w:pPr>
        <w:pStyle w:val="ListParagraph"/>
        <w:ind w:left="360"/>
      </w:pPr>
    </w:p>
    <w:p w:rsidR="00034EAB" w:rsidRPr="0064087B" w:rsidRDefault="0064087B" w:rsidP="00034EAB">
      <w:pPr>
        <w:pStyle w:val="ListParagraph"/>
        <w:numPr>
          <w:ilvl w:val="0"/>
          <w:numId w:val="1"/>
        </w:numPr>
        <w:rPr>
          <w:b/>
        </w:rPr>
      </w:pPr>
      <w:r w:rsidRPr="0064087B">
        <w:rPr>
          <w:b/>
        </w:rPr>
        <w:t>Who is</w:t>
      </w:r>
      <w:r w:rsidR="00034EAB" w:rsidRPr="0064087B">
        <w:rPr>
          <w:b/>
        </w:rPr>
        <w:t xml:space="preserve"> Eligible Tax Matters </w:t>
      </w:r>
      <w:proofErr w:type="gramStart"/>
      <w:r w:rsidR="00034EAB" w:rsidRPr="0064087B">
        <w:rPr>
          <w:b/>
        </w:rPr>
        <w:t>Partner</w:t>
      </w:r>
      <w:r w:rsidRPr="0064087B">
        <w:rPr>
          <w:rStyle w:val="Hyperlink"/>
          <w:b/>
        </w:rPr>
        <w:t xml:space="preserve"> ?</w:t>
      </w:r>
      <w:proofErr w:type="gramEnd"/>
    </w:p>
    <w:p w:rsidR="00034EAB" w:rsidRDefault="00034EAB" w:rsidP="00034EAB">
      <w:pPr>
        <w:pStyle w:val="ListParagraph"/>
        <w:ind w:left="360"/>
      </w:pPr>
      <w:r>
        <w:t>(</w:t>
      </w:r>
      <w:proofErr w:type="spellStart"/>
      <w:r w:rsidR="00870A37" w:rsidRPr="00870A37">
        <w:t>ECC</w:t>
      </w:r>
      <w:proofErr w:type="spellEnd"/>
      <w:r w:rsidR="00870A37" w:rsidRPr="00870A37">
        <w:t xml:space="preserve"> 201418051</w:t>
      </w:r>
      <w:r w:rsidR="00870A37">
        <w:t>; 5/2/2014)</w:t>
      </w:r>
    </w:p>
    <w:p w:rsidR="00034EAB" w:rsidRPr="00034EAB" w:rsidRDefault="00034EAB" w:rsidP="00034EAB">
      <w:pPr>
        <w:pStyle w:val="ListParagraph"/>
        <w:ind w:left="360"/>
      </w:pPr>
      <w:r w:rsidRPr="00034EAB">
        <w:t xml:space="preserve">In e-mailed advice, the IRS explained that state law only permits a current office or manager to act as the representative of a tax matters partner for a limited liability company. </w:t>
      </w:r>
    </w:p>
    <w:p w:rsidR="00FD0762" w:rsidRDefault="00FD0762" w:rsidP="00FD0762">
      <w:pPr>
        <w:pStyle w:val="ListParagraph"/>
      </w:pPr>
    </w:p>
    <w:p w:rsidR="00034EAB" w:rsidRPr="0064087B" w:rsidRDefault="00034EAB" w:rsidP="00034EAB">
      <w:pPr>
        <w:pStyle w:val="ListParagraph"/>
        <w:numPr>
          <w:ilvl w:val="0"/>
          <w:numId w:val="1"/>
        </w:numPr>
        <w:rPr>
          <w:b/>
        </w:rPr>
      </w:pPr>
      <w:r w:rsidRPr="0064087B">
        <w:rPr>
          <w:b/>
        </w:rPr>
        <w:t>Consultant Received Guaranteed Payments as Partner</w:t>
      </w:r>
    </w:p>
    <w:p w:rsidR="00034EAB" w:rsidRDefault="00034EAB" w:rsidP="00034EAB">
      <w:pPr>
        <w:pStyle w:val="ListParagraph"/>
        <w:ind w:left="360"/>
      </w:pPr>
      <w:r>
        <w:t>(</w:t>
      </w:r>
      <w:r w:rsidR="00870A37" w:rsidRPr="00870A37">
        <w:t>Seismic Support Services LLC et al.; T.C. Memo. 2014-78;</w:t>
      </w:r>
      <w:r w:rsidR="00870A37">
        <w:t xml:space="preserve"> 5/5/2014)</w:t>
      </w:r>
    </w:p>
    <w:p w:rsidR="00034EAB" w:rsidRPr="00034EAB" w:rsidRDefault="00034EAB" w:rsidP="00034EAB">
      <w:pPr>
        <w:pStyle w:val="ListParagraph"/>
        <w:ind w:left="360"/>
      </w:pPr>
      <w:r w:rsidRPr="00034EAB">
        <w:t xml:space="preserve">The Tax Court, sustaining accuracy-related penalties, held that a seismic design consultant -- as a partner -- received guaranteed payments for services, concluding that the payments were made without regard to the partnership's income and weren't for the use of capital and that the consultant performed all services on behalf of the partnership. </w:t>
      </w:r>
    </w:p>
    <w:p w:rsidR="00FD0762" w:rsidRDefault="00FD0762" w:rsidP="00FD0762">
      <w:pPr>
        <w:pStyle w:val="ListParagraph"/>
        <w:ind w:left="360"/>
      </w:pPr>
    </w:p>
    <w:p w:rsidR="008E0036" w:rsidRPr="0064087B" w:rsidRDefault="008E0036" w:rsidP="008E0036">
      <w:pPr>
        <w:pStyle w:val="ListParagraph"/>
        <w:numPr>
          <w:ilvl w:val="0"/>
          <w:numId w:val="1"/>
        </w:numPr>
        <w:rPr>
          <w:b/>
        </w:rPr>
      </w:pPr>
      <w:r w:rsidRPr="0064087B">
        <w:rPr>
          <w:b/>
        </w:rPr>
        <w:t xml:space="preserve"> Partnership Overvalued Conservation Easement</w:t>
      </w:r>
      <w:r w:rsidR="0064087B" w:rsidRPr="0064087B">
        <w:rPr>
          <w:rStyle w:val="Hyperlink"/>
          <w:b/>
          <w:color w:val="auto"/>
          <w:u w:val="none"/>
        </w:rPr>
        <w:t xml:space="preserve">, But Not By </w:t>
      </w:r>
      <w:proofErr w:type="gramStart"/>
      <w:r w:rsidR="0064087B" w:rsidRPr="0064087B">
        <w:rPr>
          <w:rStyle w:val="Hyperlink"/>
          <w:b/>
          <w:color w:val="auto"/>
          <w:u w:val="none"/>
        </w:rPr>
        <w:t>Much !</w:t>
      </w:r>
      <w:proofErr w:type="gramEnd"/>
    </w:p>
    <w:p w:rsidR="008E0036" w:rsidRDefault="008E0036" w:rsidP="008E0036">
      <w:pPr>
        <w:pStyle w:val="ListParagraph"/>
        <w:ind w:left="360"/>
      </w:pPr>
      <w:r>
        <w:t>(</w:t>
      </w:r>
      <w:r w:rsidR="00870A37" w:rsidRPr="00870A37">
        <w:t>Palmer Ranch Holdings Ltd. et al; T.C. Memo. 2014-79;</w:t>
      </w:r>
      <w:r w:rsidR="00870A37">
        <w:t xml:space="preserve"> 5/6/2014)</w:t>
      </w:r>
    </w:p>
    <w:p w:rsidR="008E0036" w:rsidRPr="008E0036" w:rsidRDefault="008E0036" w:rsidP="008E0036">
      <w:pPr>
        <w:pStyle w:val="ListParagraph"/>
        <w:ind w:left="360"/>
      </w:pPr>
      <w:r w:rsidRPr="008E0036">
        <w:t xml:space="preserve">The Tax Court, using the before-and-after valuation method, determined that a partnership overvalued a conservation easement for purposes of its claimed charitable contribution deduction, but the court found an accuracy-related penalty to be inapplicable because there was no gross valuation misstatement and the partnership acted in good faith. </w:t>
      </w:r>
    </w:p>
    <w:p w:rsidR="00FD0762" w:rsidRDefault="00FD0762" w:rsidP="00FD0762">
      <w:pPr>
        <w:pStyle w:val="ListParagraph"/>
        <w:ind w:left="360"/>
      </w:pPr>
    </w:p>
    <w:p w:rsidR="0013245A" w:rsidRPr="0064087B" w:rsidRDefault="0013245A" w:rsidP="0013245A">
      <w:pPr>
        <w:pStyle w:val="ListParagraph"/>
        <w:numPr>
          <w:ilvl w:val="0"/>
          <w:numId w:val="1"/>
        </w:numPr>
        <w:rPr>
          <w:b/>
        </w:rPr>
      </w:pPr>
      <w:r w:rsidRPr="0064087B">
        <w:rPr>
          <w:b/>
        </w:rPr>
        <w:t xml:space="preserve">Vehicle Expense Deduction </w:t>
      </w:r>
      <w:r w:rsidR="0064087B">
        <w:rPr>
          <w:b/>
        </w:rPr>
        <w:t xml:space="preserve">Denied </w:t>
      </w:r>
      <w:r w:rsidRPr="0064087B">
        <w:rPr>
          <w:b/>
        </w:rPr>
        <w:t>Due to Poor Records</w:t>
      </w:r>
    </w:p>
    <w:p w:rsidR="0013245A" w:rsidRDefault="0013245A" w:rsidP="0013245A">
      <w:pPr>
        <w:pStyle w:val="ListParagraph"/>
        <w:ind w:left="360"/>
      </w:pPr>
      <w:r>
        <w:t>(</w:t>
      </w:r>
      <w:r w:rsidR="00870A37" w:rsidRPr="00870A37">
        <w:t xml:space="preserve">Jason Daniel </w:t>
      </w:r>
      <w:proofErr w:type="spellStart"/>
      <w:r w:rsidR="00870A37" w:rsidRPr="00870A37">
        <w:t>Abelitis</w:t>
      </w:r>
      <w:proofErr w:type="spellEnd"/>
      <w:r w:rsidR="00870A37" w:rsidRPr="00870A37">
        <w:t xml:space="preserve"> et ux.; T.C. </w:t>
      </w:r>
      <w:proofErr w:type="spellStart"/>
      <w:r w:rsidR="00870A37" w:rsidRPr="00870A37">
        <w:t>Summ</w:t>
      </w:r>
      <w:proofErr w:type="spellEnd"/>
      <w:r w:rsidR="00870A37" w:rsidRPr="00870A37">
        <w:t>. Op. 2014-44;</w:t>
      </w:r>
      <w:r w:rsidR="00870A37">
        <w:t xml:space="preserve"> 5/7/2014)</w:t>
      </w:r>
    </w:p>
    <w:p w:rsidR="0013245A" w:rsidRPr="0013245A" w:rsidRDefault="0013245A" w:rsidP="0013245A">
      <w:pPr>
        <w:pStyle w:val="ListParagraph"/>
        <w:ind w:left="360"/>
      </w:pPr>
      <w:r w:rsidRPr="0013245A">
        <w:t xml:space="preserve">The Tax Court, in a summary opinion, denied a couple's deductions for vehicle expenses relating to the husband's mobile advertising business and upheld an accuracy-related penalty, finding that the couple didn't satisfy the substantiation requirements of section 274(d), didn't keep adequate records, and hadn't acted in good faith. </w:t>
      </w:r>
    </w:p>
    <w:p w:rsidR="00FD0762" w:rsidRDefault="00FD0762" w:rsidP="00FD0762">
      <w:pPr>
        <w:pStyle w:val="ListParagraph"/>
        <w:ind w:left="360"/>
      </w:pPr>
    </w:p>
    <w:p w:rsidR="0064087B" w:rsidRDefault="0064087B" w:rsidP="00FD0762">
      <w:pPr>
        <w:pStyle w:val="ListParagraph"/>
        <w:ind w:left="360"/>
      </w:pPr>
    </w:p>
    <w:p w:rsidR="0064087B" w:rsidRDefault="0064087B" w:rsidP="00FD0762">
      <w:pPr>
        <w:pStyle w:val="ListParagraph"/>
        <w:ind w:left="360"/>
      </w:pPr>
    </w:p>
    <w:p w:rsidR="0064087B" w:rsidRDefault="0064087B" w:rsidP="00FD0762">
      <w:pPr>
        <w:pStyle w:val="ListParagraph"/>
        <w:ind w:left="360"/>
      </w:pPr>
    </w:p>
    <w:p w:rsidR="0064087B" w:rsidRDefault="0064087B" w:rsidP="00FD0762">
      <w:pPr>
        <w:pStyle w:val="ListParagraph"/>
        <w:ind w:left="360"/>
      </w:pPr>
    </w:p>
    <w:p w:rsidR="0013245A" w:rsidRPr="0064087B" w:rsidRDefault="0013245A" w:rsidP="0013245A">
      <w:pPr>
        <w:pStyle w:val="ListParagraph"/>
        <w:numPr>
          <w:ilvl w:val="0"/>
          <w:numId w:val="1"/>
        </w:numPr>
        <w:rPr>
          <w:b/>
        </w:rPr>
      </w:pPr>
      <w:r w:rsidRPr="0064087B">
        <w:rPr>
          <w:b/>
        </w:rPr>
        <w:lastRenderedPageBreak/>
        <w:t>Unsubstantiated Deductions Denied; Accuracy Penalties Upheld</w:t>
      </w:r>
    </w:p>
    <w:p w:rsidR="0013245A" w:rsidRDefault="0013245A" w:rsidP="0013245A">
      <w:pPr>
        <w:pStyle w:val="ListParagraph"/>
        <w:ind w:left="360"/>
      </w:pPr>
      <w:r>
        <w:t>(</w:t>
      </w:r>
      <w:r w:rsidR="00870A37" w:rsidRPr="00870A37">
        <w:t xml:space="preserve">John H. Chisolm </w:t>
      </w:r>
      <w:proofErr w:type="gramStart"/>
      <w:r w:rsidR="00870A37" w:rsidRPr="00870A37">
        <w:t>et</w:t>
      </w:r>
      <w:proofErr w:type="gramEnd"/>
      <w:r w:rsidR="00870A37" w:rsidRPr="00870A37">
        <w:t xml:space="preserve"> ux; T.C. </w:t>
      </w:r>
      <w:proofErr w:type="spellStart"/>
      <w:r w:rsidR="00870A37" w:rsidRPr="00870A37">
        <w:t>Summ</w:t>
      </w:r>
      <w:proofErr w:type="spellEnd"/>
      <w:r w:rsidR="00870A37" w:rsidRPr="00870A37">
        <w:t>. Op. 2014-45;</w:t>
      </w:r>
      <w:r w:rsidR="00870A37">
        <w:t xml:space="preserve"> 5/7/2014)</w:t>
      </w:r>
    </w:p>
    <w:p w:rsidR="0013245A" w:rsidRPr="0013245A" w:rsidRDefault="0013245A" w:rsidP="0013245A">
      <w:pPr>
        <w:pStyle w:val="ListParagraph"/>
        <w:ind w:left="360"/>
      </w:pPr>
      <w:r w:rsidRPr="0013245A">
        <w:t xml:space="preserve">The Tax Court, in a summary opinion sustaining accuracy-related penalties, held that a couple wasn't entitled to charitable contribution or business expense deductions beyond those allowed by the IRS because they failed to adequately substantiate the claimed deductions. </w:t>
      </w:r>
    </w:p>
    <w:p w:rsidR="00FD0762" w:rsidRDefault="00FD0762" w:rsidP="00FD0762">
      <w:pPr>
        <w:pStyle w:val="ListParagraph"/>
        <w:ind w:left="360"/>
      </w:pPr>
    </w:p>
    <w:p w:rsidR="001137EB" w:rsidRPr="0064087B" w:rsidRDefault="001137EB" w:rsidP="001137EB">
      <w:pPr>
        <w:pStyle w:val="ListParagraph"/>
        <w:numPr>
          <w:ilvl w:val="0"/>
          <w:numId w:val="1"/>
        </w:numPr>
        <w:rPr>
          <w:b/>
        </w:rPr>
      </w:pPr>
      <w:r w:rsidRPr="0064087B">
        <w:rPr>
          <w:b/>
        </w:rPr>
        <w:t>Final Regs Address Estate, Trust Costs Subject to 2 Percent Floor</w:t>
      </w:r>
    </w:p>
    <w:p w:rsidR="001137EB" w:rsidRDefault="001137EB" w:rsidP="001137EB">
      <w:pPr>
        <w:pStyle w:val="ListParagraph"/>
        <w:ind w:left="360"/>
      </w:pPr>
      <w:r>
        <w:t>(</w:t>
      </w:r>
      <w:proofErr w:type="spellStart"/>
      <w:r w:rsidR="00870A37" w:rsidRPr="00870A37">
        <w:t>T.D</w:t>
      </w:r>
      <w:proofErr w:type="spellEnd"/>
      <w:r w:rsidR="00870A37" w:rsidRPr="00870A37">
        <w:t>. 9664</w:t>
      </w:r>
      <w:r w:rsidR="00870A37">
        <w:t>; 5/8/2014)</w:t>
      </w:r>
    </w:p>
    <w:p w:rsidR="001137EB" w:rsidRPr="001137EB" w:rsidRDefault="001137EB" w:rsidP="001137EB">
      <w:pPr>
        <w:pStyle w:val="ListParagraph"/>
        <w:ind w:left="360"/>
      </w:pPr>
      <w:r w:rsidRPr="001137EB">
        <w:t xml:space="preserve">The IRS has issued final regulations providing guidance on which costs incurred by estates or non-grantor trusts are subject to the 2 percent floor for miscellaneous itemized deductions under section 67(a). </w:t>
      </w:r>
    </w:p>
    <w:p w:rsidR="00FD0762" w:rsidRDefault="00FD0762" w:rsidP="00FD0762">
      <w:pPr>
        <w:pStyle w:val="ListParagraph"/>
        <w:ind w:left="360"/>
      </w:pPr>
    </w:p>
    <w:p w:rsidR="001137EB" w:rsidRPr="0064087B" w:rsidRDefault="001137EB" w:rsidP="001137EB">
      <w:pPr>
        <w:pStyle w:val="ListParagraph"/>
        <w:numPr>
          <w:ilvl w:val="0"/>
          <w:numId w:val="1"/>
        </w:numPr>
        <w:rPr>
          <w:b/>
        </w:rPr>
      </w:pPr>
      <w:r w:rsidRPr="0064087B">
        <w:rPr>
          <w:b/>
        </w:rPr>
        <w:t>Arrangement to Fund Benefits Through Subsidiary Is Insurance</w:t>
      </w:r>
    </w:p>
    <w:p w:rsidR="001137EB" w:rsidRDefault="001137EB" w:rsidP="001137EB">
      <w:pPr>
        <w:pStyle w:val="ListParagraph"/>
        <w:ind w:left="360"/>
      </w:pPr>
      <w:r>
        <w:t>(</w:t>
      </w:r>
      <w:r w:rsidR="00870A37" w:rsidRPr="00870A37">
        <w:t>Rev. Rul. 2014-15; 2014-22 IRB 1</w:t>
      </w:r>
      <w:r w:rsidR="00870A37">
        <w:t>; 5/8/2014)</w:t>
      </w:r>
    </w:p>
    <w:p w:rsidR="001137EB" w:rsidRPr="001137EB" w:rsidRDefault="001137EB" w:rsidP="001137EB">
      <w:pPr>
        <w:pStyle w:val="ListParagraph"/>
        <w:ind w:left="360"/>
      </w:pPr>
      <w:r w:rsidRPr="001137EB">
        <w:t xml:space="preserve">The IRS has ruled that an arrangement in which employers fund their retiree health benefits through a wholly owned subsidiary is insurance for federal income tax purposes. </w:t>
      </w:r>
    </w:p>
    <w:p w:rsidR="00FD0762" w:rsidRPr="0064087B" w:rsidRDefault="00FD0762" w:rsidP="00FD0762">
      <w:pPr>
        <w:pStyle w:val="ListParagraph"/>
        <w:ind w:left="360"/>
        <w:rPr>
          <w:b/>
        </w:rPr>
      </w:pPr>
    </w:p>
    <w:p w:rsidR="001137EB" w:rsidRPr="0064087B" w:rsidRDefault="001137EB" w:rsidP="001137EB">
      <w:pPr>
        <w:pStyle w:val="ListParagraph"/>
        <w:numPr>
          <w:ilvl w:val="0"/>
          <w:numId w:val="1"/>
        </w:numPr>
        <w:rPr>
          <w:b/>
        </w:rPr>
      </w:pPr>
      <w:r w:rsidRPr="0064087B">
        <w:rPr>
          <w:b/>
        </w:rPr>
        <w:t>Tax Court Finds Couple's Home Improvement Wasn't a Business</w:t>
      </w:r>
    </w:p>
    <w:p w:rsidR="001137EB" w:rsidRDefault="001137EB" w:rsidP="001137EB">
      <w:pPr>
        <w:pStyle w:val="ListParagraph"/>
        <w:ind w:left="360"/>
      </w:pPr>
      <w:r>
        <w:t>(</w:t>
      </w:r>
      <w:r w:rsidR="00754E64" w:rsidRPr="00754E64">
        <w:t xml:space="preserve">Issachar </w:t>
      </w:r>
      <w:proofErr w:type="spellStart"/>
      <w:r w:rsidR="00754E64" w:rsidRPr="00754E64">
        <w:t>Ohana</w:t>
      </w:r>
      <w:proofErr w:type="spellEnd"/>
      <w:r w:rsidR="00754E64" w:rsidRPr="00754E64">
        <w:t xml:space="preserve"> </w:t>
      </w:r>
      <w:proofErr w:type="gramStart"/>
      <w:r w:rsidR="00754E64" w:rsidRPr="00754E64">
        <w:t>et</w:t>
      </w:r>
      <w:proofErr w:type="gramEnd"/>
      <w:r w:rsidR="00754E64" w:rsidRPr="00754E64">
        <w:t xml:space="preserve"> ux; T.C. Memo. 2014-83;</w:t>
      </w:r>
    </w:p>
    <w:p w:rsidR="001137EB" w:rsidRPr="001137EB" w:rsidRDefault="001137EB" w:rsidP="001137EB">
      <w:pPr>
        <w:pStyle w:val="ListParagraph"/>
        <w:ind w:left="360"/>
      </w:pPr>
      <w:r w:rsidRPr="001137EB">
        <w:t xml:space="preserve">The Tax Court held that a couple who bought and renovated two homes over a period of years weren't engaged in the trade or business of real estate development and were liable for tax deficiencies after the disallowance of business-related deductions; they are also liable for accuracy-related penalties on the resulting tax underpayments. </w:t>
      </w:r>
    </w:p>
    <w:p w:rsidR="00FD0762" w:rsidRDefault="00FD0762" w:rsidP="00FD0762">
      <w:pPr>
        <w:pStyle w:val="ListParagraph"/>
        <w:ind w:left="360"/>
      </w:pPr>
    </w:p>
    <w:p w:rsidR="00FD0762" w:rsidRDefault="00FD0762" w:rsidP="00FD0762">
      <w:pPr>
        <w:pStyle w:val="ListParagraph"/>
        <w:ind w:left="360"/>
      </w:pPr>
    </w:p>
    <w:p w:rsidR="00FD0762" w:rsidRDefault="00FD0762" w:rsidP="00754E64">
      <w:pPr>
        <w:pStyle w:val="ListParagraph"/>
        <w:ind w:left="360"/>
      </w:pPr>
      <w:bookmarkStart w:id="0" w:name="_GoBack"/>
      <w:bookmarkEnd w:id="0"/>
    </w:p>
    <w:p w:rsidR="00FD0762" w:rsidRDefault="00FD0762" w:rsidP="00FD0762">
      <w:pPr>
        <w:pStyle w:val="ListParagraph"/>
        <w:ind w:left="360"/>
      </w:pPr>
    </w:p>
    <w:sectPr w:rsidR="00FD0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838"/>
    <w:multiLevelType w:val="multilevel"/>
    <w:tmpl w:val="967E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BF70E6"/>
    <w:multiLevelType w:val="multilevel"/>
    <w:tmpl w:val="EBB8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B72CF6"/>
    <w:multiLevelType w:val="multilevel"/>
    <w:tmpl w:val="15C2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490154"/>
    <w:multiLevelType w:val="multilevel"/>
    <w:tmpl w:val="4D86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581334"/>
    <w:multiLevelType w:val="multilevel"/>
    <w:tmpl w:val="C480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3B15BC"/>
    <w:multiLevelType w:val="hybridMultilevel"/>
    <w:tmpl w:val="AD262C78"/>
    <w:lvl w:ilvl="0" w:tplc="6FCEA14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807265"/>
    <w:multiLevelType w:val="multilevel"/>
    <w:tmpl w:val="B2B44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AE3E8F"/>
    <w:multiLevelType w:val="multilevel"/>
    <w:tmpl w:val="642A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7B2DA2"/>
    <w:multiLevelType w:val="multilevel"/>
    <w:tmpl w:val="922E7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94556A"/>
    <w:multiLevelType w:val="multilevel"/>
    <w:tmpl w:val="1FDE0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4"/>
  </w:num>
  <w:num w:numId="5">
    <w:abstractNumId w:val="3"/>
  </w:num>
  <w:num w:numId="6">
    <w:abstractNumId w:val="9"/>
  </w:num>
  <w:num w:numId="7">
    <w:abstractNumId w:val="8"/>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62"/>
    <w:rsid w:val="00020B32"/>
    <w:rsid w:val="00034EAB"/>
    <w:rsid w:val="001137EB"/>
    <w:rsid w:val="0013245A"/>
    <w:rsid w:val="003720E4"/>
    <w:rsid w:val="003F3870"/>
    <w:rsid w:val="00421753"/>
    <w:rsid w:val="00621D0D"/>
    <w:rsid w:val="0064087B"/>
    <w:rsid w:val="006745B8"/>
    <w:rsid w:val="00687B67"/>
    <w:rsid w:val="00754E64"/>
    <w:rsid w:val="00870A37"/>
    <w:rsid w:val="008E0036"/>
    <w:rsid w:val="0096749D"/>
    <w:rsid w:val="00BE4144"/>
    <w:rsid w:val="00D009F6"/>
    <w:rsid w:val="00E12979"/>
    <w:rsid w:val="00FD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B0464-CE6F-4938-B58F-C5DE3B00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762"/>
    <w:pPr>
      <w:ind w:left="720"/>
      <w:contextualSpacing/>
    </w:pPr>
  </w:style>
  <w:style w:type="character" w:styleId="Hyperlink">
    <w:name w:val="Hyperlink"/>
    <w:basedOn w:val="DefaultParagraphFont"/>
    <w:uiPriority w:val="99"/>
    <w:unhideWhenUsed/>
    <w:rsid w:val="00421753"/>
    <w:rPr>
      <w:color w:val="0563C1" w:themeColor="hyperlink"/>
      <w:u w:val="single"/>
    </w:rPr>
  </w:style>
  <w:style w:type="character" w:styleId="FollowedHyperlink">
    <w:name w:val="FollowedHyperlink"/>
    <w:basedOn w:val="DefaultParagraphFont"/>
    <w:uiPriority w:val="99"/>
    <w:semiHidden/>
    <w:unhideWhenUsed/>
    <w:rsid w:val="00870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2503">
      <w:bodyDiv w:val="1"/>
      <w:marLeft w:val="0"/>
      <w:marRight w:val="0"/>
      <w:marTop w:val="0"/>
      <w:marBottom w:val="0"/>
      <w:divBdr>
        <w:top w:val="none" w:sz="0" w:space="0" w:color="auto"/>
        <w:left w:val="none" w:sz="0" w:space="0" w:color="auto"/>
        <w:bottom w:val="none" w:sz="0" w:space="0" w:color="auto"/>
        <w:right w:val="none" w:sz="0" w:space="0" w:color="auto"/>
      </w:divBdr>
      <w:divsChild>
        <w:div w:id="54746509">
          <w:marLeft w:val="0"/>
          <w:marRight w:val="0"/>
          <w:marTop w:val="0"/>
          <w:marBottom w:val="0"/>
          <w:divBdr>
            <w:top w:val="none" w:sz="0" w:space="0" w:color="auto"/>
            <w:left w:val="none" w:sz="0" w:space="0" w:color="auto"/>
            <w:bottom w:val="none" w:sz="0" w:space="0" w:color="auto"/>
            <w:right w:val="none" w:sz="0" w:space="0" w:color="auto"/>
          </w:divBdr>
          <w:divsChild>
            <w:div w:id="1439329598">
              <w:marLeft w:val="0"/>
              <w:marRight w:val="0"/>
              <w:marTop w:val="0"/>
              <w:marBottom w:val="0"/>
              <w:divBdr>
                <w:top w:val="none" w:sz="0" w:space="0" w:color="auto"/>
                <w:left w:val="none" w:sz="0" w:space="0" w:color="auto"/>
                <w:bottom w:val="none" w:sz="0" w:space="0" w:color="auto"/>
                <w:right w:val="none" w:sz="0" w:space="0" w:color="auto"/>
              </w:divBdr>
              <w:divsChild>
                <w:div w:id="627901683">
                  <w:marLeft w:val="0"/>
                  <w:marRight w:val="0"/>
                  <w:marTop w:val="0"/>
                  <w:marBottom w:val="0"/>
                  <w:divBdr>
                    <w:top w:val="none" w:sz="0" w:space="0" w:color="auto"/>
                    <w:left w:val="none" w:sz="0" w:space="0" w:color="auto"/>
                    <w:bottom w:val="none" w:sz="0" w:space="0" w:color="auto"/>
                    <w:right w:val="none" w:sz="0" w:space="0" w:color="auto"/>
                  </w:divBdr>
                  <w:divsChild>
                    <w:div w:id="1580091741">
                      <w:marLeft w:val="0"/>
                      <w:marRight w:val="0"/>
                      <w:marTop w:val="0"/>
                      <w:marBottom w:val="450"/>
                      <w:divBdr>
                        <w:top w:val="single" w:sz="6" w:space="0" w:color="005DBA"/>
                        <w:left w:val="none" w:sz="0" w:space="0" w:color="auto"/>
                        <w:bottom w:val="single" w:sz="6" w:space="0" w:color="005DBA"/>
                        <w:right w:val="none" w:sz="0" w:space="0" w:color="auto"/>
                      </w:divBdr>
                      <w:divsChild>
                        <w:div w:id="152184680">
                          <w:marLeft w:val="0"/>
                          <w:marRight w:val="0"/>
                          <w:marTop w:val="0"/>
                          <w:marBottom w:val="0"/>
                          <w:divBdr>
                            <w:top w:val="single" w:sz="24" w:space="15" w:color="FFFFFF"/>
                            <w:left w:val="none" w:sz="0" w:space="0" w:color="auto"/>
                            <w:bottom w:val="single" w:sz="24" w:space="15" w:color="FFFFFF"/>
                            <w:right w:val="none" w:sz="0" w:space="0" w:color="auto"/>
                          </w:divBdr>
                          <w:divsChild>
                            <w:div w:id="1418670360">
                              <w:marLeft w:val="0"/>
                              <w:marRight w:val="0"/>
                              <w:marTop w:val="0"/>
                              <w:marBottom w:val="75"/>
                              <w:divBdr>
                                <w:top w:val="none" w:sz="0" w:space="0" w:color="auto"/>
                                <w:left w:val="none" w:sz="0" w:space="0" w:color="auto"/>
                                <w:bottom w:val="none" w:sz="0" w:space="0" w:color="auto"/>
                                <w:right w:val="none" w:sz="0" w:space="0" w:color="auto"/>
                              </w:divBdr>
                              <w:divsChild>
                                <w:div w:id="755786211">
                                  <w:marLeft w:val="0"/>
                                  <w:marRight w:val="0"/>
                                  <w:marTop w:val="0"/>
                                  <w:marBottom w:val="0"/>
                                  <w:divBdr>
                                    <w:top w:val="none" w:sz="0" w:space="0" w:color="auto"/>
                                    <w:left w:val="none" w:sz="0" w:space="0" w:color="auto"/>
                                    <w:bottom w:val="none" w:sz="0" w:space="0" w:color="auto"/>
                                    <w:right w:val="none" w:sz="0" w:space="0" w:color="auto"/>
                                  </w:divBdr>
                                  <w:divsChild>
                                    <w:div w:id="1299920504">
                                      <w:marLeft w:val="0"/>
                                      <w:marRight w:val="0"/>
                                      <w:marTop w:val="0"/>
                                      <w:marBottom w:val="0"/>
                                      <w:divBdr>
                                        <w:top w:val="none" w:sz="0" w:space="0" w:color="auto"/>
                                        <w:left w:val="none" w:sz="0" w:space="0" w:color="auto"/>
                                        <w:bottom w:val="none" w:sz="0" w:space="0" w:color="auto"/>
                                        <w:right w:val="none" w:sz="0" w:space="0" w:color="auto"/>
                                      </w:divBdr>
                                      <w:divsChild>
                                        <w:div w:id="714046383">
                                          <w:marLeft w:val="0"/>
                                          <w:marRight w:val="0"/>
                                          <w:marTop w:val="0"/>
                                          <w:marBottom w:val="75"/>
                                          <w:divBdr>
                                            <w:top w:val="none" w:sz="0" w:space="0" w:color="auto"/>
                                            <w:left w:val="none" w:sz="0" w:space="0" w:color="auto"/>
                                            <w:bottom w:val="none" w:sz="0" w:space="0" w:color="auto"/>
                                            <w:right w:val="none" w:sz="0" w:space="0" w:color="auto"/>
                                          </w:divBdr>
                                        </w:div>
                                        <w:div w:id="430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93556">
      <w:bodyDiv w:val="1"/>
      <w:marLeft w:val="0"/>
      <w:marRight w:val="0"/>
      <w:marTop w:val="0"/>
      <w:marBottom w:val="0"/>
      <w:divBdr>
        <w:top w:val="none" w:sz="0" w:space="0" w:color="auto"/>
        <w:left w:val="none" w:sz="0" w:space="0" w:color="auto"/>
        <w:bottom w:val="none" w:sz="0" w:space="0" w:color="auto"/>
        <w:right w:val="none" w:sz="0" w:space="0" w:color="auto"/>
      </w:divBdr>
      <w:divsChild>
        <w:div w:id="1225680179">
          <w:marLeft w:val="0"/>
          <w:marRight w:val="0"/>
          <w:marTop w:val="0"/>
          <w:marBottom w:val="0"/>
          <w:divBdr>
            <w:top w:val="none" w:sz="0" w:space="0" w:color="auto"/>
            <w:left w:val="none" w:sz="0" w:space="0" w:color="auto"/>
            <w:bottom w:val="none" w:sz="0" w:space="0" w:color="auto"/>
            <w:right w:val="none" w:sz="0" w:space="0" w:color="auto"/>
          </w:divBdr>
          <w:divsChild>
            <w:div w:id="1053625096">
              <w:marLeft w:val="0"/>
              <w:marRight w:val="0"/>
              <w:marTop w:val="0"/>
              <w:marBottom w:val="0"/>
              <w:divBdr>
                <w:top w:val="none" w:sz="0" w:space="0" w:color="auto"/>
                <w:left w:val="none" w:sz="0" w:space="0" w:color="auto"/>
                <w:bottom w:val="none" w:sz="0" w:space="0" w:color="auto"/>
                <w:right w:val="none" w:sz="0" w:space="0" w:color="auto"/>
              </w:divBdr>
              <w:divsChild>
                <w:div w:id="2001536903">
                  <w:marLeft w:val="0"/>
                  <w:marRight w:val="0"/>
                  <w:marTop w:val="0"/>
                  <w:marBottom w:val="0"/>
                  <w:divBdr>
                    <w:top w:val="none" w:sz="0" w:space="0" w:color="auto"/>
                    <w:left w:val="none" w:sz="0" w:space="0" w:color="auto"/>
                    <w:bottom w:val="none" w:sz="0" w:space="0" w:color="auto"/>
                    <w:right w:val="none" w:sz="0" w:space="0" w:color="auto"/>
                  </w:divBdr>
                  <w:divsChild>
                    <w:div w:id="2144954752">
                      <w:marLeft w:val="0"/>
                      <w:marRight w:val="0"/>
                      <w:marTop w:val="0"/>
                      <w:marBottom w:val="450"/>
                      <w:divBdr>
                        <w:top w:val="single" w:sz="6" w:space="0" w:color="005DBA"/>
                        <w:left w:val="none" w:sz="0" w:space="0" w:color="auto"/>
                        <w:bottom w:val="single" w:sz="6" w:space="0" w:color="005DBA"/>
                        <w:right w:val="none" w:sz="0" w:space="0" w:color="auto"/>
                      </w:divBdr>
                      <w:divsChild>
                        <w:div w:id="1190685473">
                          <w:marLeft w:val="0"/>
                          <w:marRight w:val="0"/>
                          <w:marTop w:val="0"/>
                          <w:marBottom w:val="0"/>
                          <w:divBdr>
                            <w:top w:val="single" w:sz="24" w:space="15" w:color="FFFFFF"/>
                            <w:left w:val="none" w:sz="0" w:space="0" w:color="auto"/>
                            <w:bottom w:val="single" w:sz="24" w:space="15" w:color="FFFFFF"/>
                            <w:right w:val="none" w:sz="0" w:space="0" w:color="auto"/>
                          </w:divBdr>
                          <w:divsChild>
                            <w:div w:id="1029647618">
                              <w:marLeft w:val="0"/>
                              <w:marRight w:val="0"/>
                              <w:marTop w:val="0"/>
                              <w:marBottom w:val="75"/>
                              <w:divBdr>
                                <w:top w:val="none" w:sz="0" w:space="0" w:color="auto"/>
                                <w:left w:val="none" w:sz="0" w:space="0" w:color="auto"/>
                                <w:bottom w:val="none" w:sz="0" w:space="0" w:color="auto"/>
                                <w:right w:val="none" w:sz="0" w:space="0" w:color="auto"/>
                              </w:divBdr>
                              <w:divsChild>
                                <w:div w:id="588125404">
                                  <w:marLeft w:val="0"/>
                                  <w:marRight w:val="0"/>
                                  <w:marTop w:val="0"/>
                                  <w:marBottom w:val="0"/>
                                  <w:divBdr>
                                    <w:top w:val="none" w:sz="0" w:space="0" w:color="auto"/>
                                    <w:left w:val="none" w:sz="0" w:space="0" w:color="auto"/>
                                    <w:bottom w:val="none" w:sz="0" w:space="0" w:color="auto"/>
                                    <w:right w:val="none" w:sz="0" w:space="0" w:color="auto"/>
                                  </w:divBdr>
                                  <w:divsChild>
                                    <w:div w:id="1556351057">
                                      <w:marLeft w:val="0"/>
                                      <w:marRight w:val="0"/>
                                      <w:marTop w:val="0"/>
                                      <w:marBottom w:val="0"/>
                                      <w:divBdr>
                                        <w:top w:val="none" w:sz="0" w:space="0" w:color="auto"/>
                                        <w:left w:val="none" w:sz="0" w:space="0" w:color="auto"/>
                                        <w:bottom w:val="none" w:sz="0" w:space="0" w:color="auto"/>
                                        <w:right w:val="none" w:sz="0" w:space="0" w:color="auto"/>
                                      </w:divBdr>
                                      <w:divsChild>
                                        <w:div w:id="1369258434">
                                          <w:marLeft w:val="0"/>
                                          <w:marRight w:val="0"/>
                                          <w:marTop w:val="0"/>
                                          <w:marBottom w:val="75"/>
                                          <w:divBdr>
                                            <w:top w:val="none" w:sz="0" w:space="0" w:color="auto"/>
                                            <w:left w:val="none" w:sz="0" w:space="0" w:color="auto"/>
                                            <w:bottom w:val="none" w:sz="0" w:space="0" w:color="auto"/>
                                            <w:right w:val="none" w:sz="0" w:space="0" w:color="auto"/>
                                          </w:divBdr>
                                        </w:div>
                                        <w:div w:id="1749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843620">
      <w:bodyDiv w:val="1"/>
      <w:marLeft w:val="0"/>
      <w:marRight w:val="0"/>
      <w:marTop w:val="0"/>
      <w:marBottom w:val="0"/>
      <w:divBdr>
        <w:top w:val="none" w:sz="0" w:space="0" w:color="auto"/>
        <w:left w:val="none" w:sz="0" w:space="0" w:color="auto"/>
        <w:bottom w:val="none" w:sz="0" w:space="0" w:color="auto"/>
        <w:right w:val="none" w:sz="0" w:space="0" w:color="auto"/>
      </w:divBdr>
      <w:divsChild>
        <w:div w:id="24254649">
          <w:marLeft w:val="0"/>
          <w:marRight w:val="0"/>
          <w:marTop w:val="0"/>
          <w:marBottom w:val="0"/>
          <w:divBdr>
            <w:top w:val="none" w:sz="0" w:space="0" w:color="auto"/>
            <w:left w:val="none" w:sz="0" w:space="0" w:color="auto"/>
            <w:bottom w:val="none" w:sz="0" w:space="0" w:color="auto"/>
            <w:right w:val="none" w:sz="0" w:space="0" w:color="auto"/>
          </w:divBdr>
          <w:divsChild>
            <w:div w:id="1387610627">
              <w:marLeft w:val="0"/>
              <w:marRight w:val="0"/>
              <w:marTop w:val="0"/>
              <w:marBottom w:val="0"/>
              <w:divBdr>
                <w:top w:val="none" w:sz="0" w:space="0" w:color="auto"/>
                <w:left w:val="none" w:sz="0" w:space="0" w:color="auto"/>
                <w:bottom w:val="none" w:sz="0" w:space="0" w:color="auto"/>
                <w:right w:val="none" w:sz="0" w:space="0" w:color="auto"/>
              </w:divBdr>
              <w:divsChild>
                <w:div w:id="621885336">
                  <w:marLeft w:val="0"/>
                  <w:marRight w:val="0"/>
                  <w:marTop w:val="0"/>
                  <w:marBottom w:val="0"/>
                  <w:divBdr>
                    <w:top w:val="none" w:sz="0" w:space="0" w:color="auto"/>
                    <w:left w:val="none" w:sz="0" w:space="0" w:color="auto"/>
                    <w:bottom w:val="none" w:sz="0" w:space="0" w:color="auto"/>
                    <w:right w:val="none" w:sz="0" w:space="0" w:color="auto"/>
                  </w:divBdr>
                  <w:divsChild>
                    <w:div w:id="285745405">
                      <w:marLeft w:val="0"/>
                      <w:marRight w:val="0"/>
                      <w:marTop w:val="0"/>
                      <w:marBottom w:val="450"/>
                      <w:divBdr>
                        <w:top w:val="single" w:sz="6" w:space="0" w:color="005DBA"/>
                        <w:left w:val="none" w:sz="0" w:space="0" w:color="auto"/>
                        <w:bottom w:val="single" w:sz="6" w:space="0" w:color="005DBA"/>
                        <w:right w:val="none" w:sz="0" w:space="0" w:color="auto"/>
                      </w:divBdr>
                      <w:divsChild>
                        <w:div w:id="1044409615">
                          <w:marLeft w:val="0"/>
                          <w:marRight w:val="0"/>
                          <w:marTop w:val="0"/>
                          <w:marBottom w:val="0"/>
                          <w:divBdr>
                            <w:top w:val="single" w:sz="24" w:space="15" w:color="FFFFFF"/>
                            <w:left w:val="none" w:sz="0" w:space="0" w:color="auto"/>
                            <w:bottom w:val="single" w:sz="24" w:space="15" w:color="FFFFFF"/>
                            <w:right w:val="none" w:sz="0" w:space="0" w:color="auto"/>
                          </w:divBdr>
                          <w:divsChild>
                            <w:div w:id="1596094594">
                              <w:marLeft w:val="0"/>
                              <w:marRight w:val="0"/>
                              <w:marTop w:val="0"/>
                              <w:marBottom w:val="75"/>
                              <w:divBdr>
                                <w:top w:val="none" w:sz="0" w:space="0" w:color="auto"/>
                                <w:left w:val="none" w:sz="0" w:space="0" w:color="auto"/>
                                <w:bottom w:val="none" w:sz="0" w:space="0" w:color="auto"/>
                                <w:right w:val="none" w:sz="0" w:space="0" w:color="auto"/>
                              </w:divBdr>
                              <w:divsChild>
                                <w:div w:id="842011361">
                                  <w:marLeft w:val="0"/>
                                  <w:marRight w:val="0"/>
                                  <w:marTop w:val="0"/>
                                  <w:marBottom w:val="0"/>
                                  <w:divBdr>
                                    <w:top w:val="none" w:sz="0" w:space="0" w:color="auto"/>
                                    <w:left w:val="none" w:sz="0" w:space="0" w:color="auto"/>
                                    <w:bottom w:val="none" w:sz="0" w:space="0" w:color="auto"/>
                                    <w:right w:val="none" w:sz="0" w:space="0" w:color="auto"/>
                                  </w:divBdr>
                                  <w:divsChild>
                                    <w:div w:id="827480338">
                                      <w:marLeft w:val="0"/>
                                      <w:marRight w:val="0"/>
                                      <w:marTop w:val="0"/>
                                      <w:marBottom w:val="0"/>
                                      <w:divBdr>
                                        <w:top w:val="none" w:sz="0" w:space="0" w:color="auto"/>
                                        <w:left w:val="none" w:sz="0" w:space="0" w:color="auto"/>
                                        <w:bottom w:val="none" w:sz="0" w:space="0" w:color="auto"/>
                                        <w:right w:val="none" w:sz="0" w:space="0" w:color="auto"/>
                                      </w:divBdr>
                                      <w:divsChild>
                                        <w:div w:id="553389422">
                                          <w:marLeft w:val="0"/>
                                          <w:marRight w:val="0"/>
                                          <w:marTop w:val="0"/>
                                          <w:marBottom w:val="75"/>
                                          <w:divBdr>
                                            <w:top w:val="none" w:sz="0" w:space="0" w:color="auto"/>
                                            <w:left w:val="none" w:sz="0" w:space="0" w:color="auto"/>
                                            <w:bottom w:val="none" w:sz="0" w:space="0" w:color="auto"/>
                                            <w:right w:val="none" w:sz="0" w:space="0" w:color="auto"/>
                                          </w:divBdr>
                                        </w:div>
                                        <w:div w:id="9141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634263">
      <w:bodyDiv w:val="1"/>
      <w:marLeft w:val="0"/>
      <w:marRight w:val="0"/>
      <w:marTop w:val="0"/>
      <w:marBottom w:val="0"/>
      <w:divBdr>
        <w:top w:val="none" w:sz="0" w:space="0" w:color="auto"/>
        <w:left w:val="none" w:sz="0" w:space="0" w:color="auto"/>
        <w:bottom w:val="none" w:sz="0" w:space="0" w:color="auto"/>
        <w:right w:val="none" w:sz="0" w:space="0" w:color="auto"/>
      </w:divBdr>
      <w:divsChild>
        <w:div w:id="1989892259">
          <w:marLeft w:val="0"/>
          <w:marRight w:val="0"/>
          <w:marTop w:val="0"/>
          <w:marBottom w:val="0"/>
          <w:divBdr>
            <w:top w:val="none" w:sz="0" w:space="0" w:color="auto"/>
            <w:left w:val="none" w:sz="0" w:space="0" w:color="auto"/>
            <w:bottom w:val="none" w:sz="0" w:space="0" w:color="auto"/>
            <w:right w:val="none" w:sz="0" w:space="0" w:color="auto"/>
          </w:divBdr>
          <w:divsChild>
            <w:div w:id="410661461">
              <w:marLeft w:val="0"/>
              <w:marRight w:val="0"/>
              <w:marTop w:val="0"/>
              <w:marBottom w:val="0"/>
              <w:divBdr>
                <w:top w:val="none" w:sz="0" w:space="0" w:color="auto"/>
                <w:left w:val="none" w:sz="0" w:space="0" w:color="auto"/>
                <w:bottom w:val="none" w:sz="0" w:space="0" w:color="auto"/>
                <w:right w:val="none" w:sz="0" w:space="0" w:color="auto"/>
              </w:divBdr>
              <w:divsChild>
                <w:div w:id="1497265157">
                  <w:marLeft w:val="0"/>
                  <w:marRight w:val="0"/>
                  <w:marTop w:val="0"/>
                  <w:marBottom w:val="0"/>
                  <w:divBdr>
                    <w:top w:val="none" w:sz="0" w:space="0" w:color="auto"/>
                    <w:left w:val="none" w:sz="0" w:space="0" w:color="auto"/>
                    <w:bottom w:val="none" w:sz="0" w:space="0" w:color="auto"/>
                    <w:right w:val="none" w:sz="0" w:space="0" w:color="auto"/>
                  </w:divBdr>
                  <w:divsChild>
                    <w:div w:id="1907371600">
                      <w:marLeft w:val="0"/>
                      <w:marRight w:val="0"/>
                      <w:marTop w:val="0"/>
                      <w:marBottom w:val="450"/>
                      <w:divBdr>
                        <w:top w:val="single" w:sz="6" w:space="0" w:color="005DBA"/>
                        <w:left w:val="none" w:sz="0" w:space="0" w:color="auto"/>
                        <w:bottom w:val="single" w:sz="6" w:space="0" w:color="005DBA"/>
                        <w:right w:val="none" w:sz="0" w:space="0" w:color="auto"/>
                      </w:divBdr>
                      <w:divsChild>
                        <w:div w:id="1143741271">
                          <w:marLeft w:val="0"/>
                          <w:marRight w:val="0"/>
                          <w:marTop w:val="0"/>
                          <w:marBottom w:val="0"/>
                          <w:divBdr>
                            <w:top w:val="single" w:sz="24" w:space="15" w:color="FFFFFF"/>
                            <w:left w:val="none" w:sz="0" w:space="0" w:color="auto"/>
                            <w:bottom w:val="single" w:sz="24" w:space="15" w:color="FFFFFF"/>
                            <w:right w:val="none" w:sz="0" w:space="0" w:color="auto"/>
                          </w:divBdr>
                          <w:divsChild>
                            <w:div w:id="393938439">
                              <w:marLeft w:val="0"/>
                              <w:marRight w:val="0"/>
                              <w:marTop w:val="0"/>
                              <w:marBottom w:val="75"/>
                              <w:divBdr>
                                <w:top w:val="none" w:sz="0" w:space="0" w:color="auto"/>
                                <w:left w:val="none" w:sz="0" w:space="0" w:color="auto"/>
                                <w:bottom w:val="none" w:sz="0" w:space="0" w:color="auto"/>
                                <w:right w:val="none" w:sz="0" w:space="0" w:color="auto"/>
                              </w:divBdr>
                              <w:divsChild>
                                <w:div w:id="1379207770">
                                  <w:marLeft w:val="0"/>
                                  <w:marRight w:val="0"/>
                                  <w:marTop w:val="0"/>
                                  <w:marBottom w:val="0"/>
                                  <w:divBdr>
                                    <w:top w:val="none" w:sz="0" w:space="0" w:color="auto"/>
                                    <w:left w:val="none" w:sz="0" w:space="0" w:color="auto"/>
                                    <w:bottom w:val="none" w:sz="0" w:space="0" w:color="auto"/>
                                    <w:right w:val="none" w:sz="0" w:space="0" w:color="auto"/>
                                  </w:divBdr>
                                  <w:divsChild>
                                    <w:div w:id="1024284380">
                                      <w:marLeft w:val="0"/>
                                      <w:marRight w:val="0"/>
                                      <w:marTop w:val="0"/>
                                      <w:marBottom w:val="0"/>
                                      <w:divBdr>
                                        <w:top w:val="none" w:sz="0" w:space="0" w:color="auto"/>
                                        <w:left w:val="none" w:sz="0" w:space="0" w:color="auto"/>
                                        <w:bottom w:val="none" w:sz="0" w:space="0" w:color="auto"/>
                                        <w:right w:val="none" w:sz="0" w:space="0" w:color="auto"/>
                                      </w:divBdr>
                                      <w:divsChild>
                                        <w:div w:id="1352142343">
                                          <w:marLeft w:val="0"/>
                                          <w:marRight w:val="0"/>
                                          <w:marTop w:val="0"/>
                                          <w:marBottom w:val="75"/>
                                          <w:divBdr>
                                            <w:top w:val="none" w:sz="0" w:space="0" w:color="auto"/>
                                            <w:left w:val="none" w:sz="0" w:space="0" w:color="auto"/>
                                            <w:bottom w:val="none" w:sz="0" w:space="0" w:color="auto"/>
                                            <w:right w:val="none" w:sz="0" w:space="0" w:color="auto"/>
                                          </w:divBdr>
                                        </w:div>
                                        <w:div w:id="4884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153271">
      <w:bodyDiv w:val="1"/>
      <w:marLeft w:val="0"/>
      <w:marRight w:val="0"/>
      <w:marTop w:val="0"/>
      <w:marBottom w:val="0"/>
      <w:divBdr>
        <w:top w:val="none" w:sz="0" w:space="0" w:color="auto"/>
        <w:left w:val="none" w:sz="0" w:space="0" w:color="auto"/>
        <w:bottom w:val="none" w:sz="0" w:space="0" w:color="auto"/>
        <w:right w:val="none" w:sz="0" w:space="0" w:color="auto"/>
      </w:divBdr>
      <w:divsChild>
        <w:div w:id="1386568471">
          <w:marLeft w:val="0"/>
          <w:marRight w:val="0"/>
          <w:marTop w:val="0"/>
          <w:marBottom w:val="0"/>
          <w:divBdr>
            <w:top w:val="none" w:sz="0" w:space="0" w:color="auto"/>
            <w:left w:val="none" w:sz="0" w:space="0" w:color="auto"/>
            <w:bottom w:val="none" w:sz="0" w:space="0" w:color="auto"/>
            <w:right w:val="none" w:sz="0" w:space="0" w:color="auto"/>
          </w:divBdr>
          <w:divsChild>
            <w:div w:id="518857222">
              <w:marLeft w:val="0"/>
              <w:marRight w:val="0"/>
              <w:marTop w:val="0"/>
              <w:marBottom w:val="0"/>
              <w:divBdr>
                <w:top w:val="none" w:sz="0" w:space="0" w:color="auto"/>
                <w:left w:val="none" w:sz="0" w:space="0" w:color="auto"/>
                <w:bottom w:val="none" w:sz="0" w:space="0" w:color="auto"/>
                <w:right w:val="none" w:sz="0" w:space="0" w:color="auto"/>
              </w:divBdr>
              <w:divsChild>
                <w:div w:id="2081753993">
                  <w:marLeft w:val="0"/>
                  <w:marRight w:val="0"/>
                  <w:marTop w:val="0"/>
                  <w:marBottom w:val="0"/>
                  <w:divBdr>
                    <w:top w:val="none" w:sz="0" w:space="0" w:color="auto"/>
                    <w:left w:val="none" w:sz="0" w:space="0" w:color="auto"/>
                    <w:bottom w:val="none" w:sz="0" w:space="0" w:color="auto"/>
                    <w:right w:val="none" w:sz="0" w:space="0" w:color="auto"/>
                  </w:divBdr>
                  <w:divsChild>
                    <w:div w:id="867596376">
                      <w:marLeft w:val="0"/>
                      <w:marRight w:val="0"/>
                      <w:marTop w:val="0"/>
                      <w:marBottom w:val="450"/>
                      <w:divBdr>
                        <w:top w:val="single" w:sz="6" w:space="0" w:color="005DBA"/>
                        <w:left w:val="none" w:sz="0" w:space="0" w:color="auto"/>
                        <w:bottom w:val="single" w:sz="6" w:space="0" w:color="005DBA"/>
                        <w:right w:val="none" w:sz="0" w:space="0" w:color="auto"/>
                      </w:divBdr>
                      <w:divsChild>
                        <w:div w:id="1486242275">
                          <w:marLeft w:val="0"/>
                          <w:marRight w:val="0"/>
                          <w:marTop w:val="0"/>
                          <w:marBottom w:val="0"/>
                          <w:divBdr>
                            <w:top w:val="single" w:sz="24" w:space="15" w:color="FFFFFF"/>
                            <w:left w:val="none" w:sz="0" w:space="0" w:color="auto"/>
                            <w:bottom w:val="single" w:sz="24" w:space="15" w:color="FFFFFF"/>
                            <w:right w:val="none" w:sz="0" w:space="0" w:color="auto"/>
                          </w:divBdr>
                          <w:divsChild>
                            <w:div w:id="1730374195">
                              <w:marLeft w:val="0"/>
                              <w:marRight w:val="0"/>
                              <w:marTop w:val="0"/>
                              <w:marBottom w:val="75"/>
                              <w:divBdr>
                                <w:top w:val="none" w:sz="0" w:space="0" w:color="auto"/>
                                <w:left w:val="none" w:sz="0" w:space="0" w:color="auto"/>
                                <w:bottom w:val="none" w:sz="0" w:space="0" w:color="auto"/>
                                <w:right w:val="none" w:sz="0" w:space="0" w:color="auto"/>
                              </w:divBdr>
                              <w:divsChild>
                                <w:div w:id="1016886339">
                                  <w:marLeft w:val="0"/>
                                  <w:marRight w:val="0"/>
                                  <w:marTop w:val="0"/>
                                  <w:marBottom w:val="0"/>
                                  <w:divBdr>
                                    <w:top w:val="none" w:sz="0" w:space="0" w:color="auto"/>
                                    <w:left w:val="none" w:sz="0" w:space="0" w:color="auto"/>
                                    <w:bottom w:val="none" w:sz="0" w:space="0" w:color="auto"/>
                                    <w:right w:val="none" w:sz="0" w:space="0" w:color="auto"/>
                                  </w:divBdr>
                                  <w:divsChild>
                                    <w:div w:id="42412443">
                                      <w:marLeft w:val="0"/>
                                      <w:marRight w:val="0"/>
                                      <w:marTop w:val="0"/>
                                      <w:marBottom w:val="0"/>
                                      <w:divBdr>
                                        <w:top w:val="none" w:sz="0" w:space="0" w:color="auto"/>
                                        <w:left w:val="none" w:sz="0" w:space="0" w:color="auto"/>
                                        <w:bottom w:val="none" w:sz="0" w:space="0" w:color="auto"/>
                                        <w:right w:val="none" w:sz="0" w:space="0" w:color="auto"/>
                                      </w:divBdr>
                                      <w:divsChild>
                                        <w:div w:id="920412092">
                                          <w:marLeft w:val="0"/>
                                          <w:marRight w:val="0"/>
                                          <w:marTop w:val="0"/>
                                          <w:marBottom w:val="75"/>
                                          <w:divBdr>
                                            <w:top w:val="none" w:sz="0" w:space="0" w:color="auto"/>
                                            <w:left w:val="none" w:sz="0" w:space="0" w:color="auto"/>
                                            <w:bottom w:val="none" w:sz="0" w:space="0" w:color="auto"/>
                                            <w:right w:val="none" w:sz="0" w:space="0" w:color="auto"/>
                                          </w:divBdr>
                                        </w:div>
                                        <w:div w:id="12870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589205">
      <w:bodyDiv w:val="1"/>
      <w:marLeft w:val="0"/>
      <w:marRight w:val="0"/>
      <w:marTop w:val="0"/>
      <w:marBottom w:val="0"/>
      <w:divBdr>
        <w:top w:val="none" w:sz="0" w:space="0" w:color="auto"/>
        <w:left w:val="none" w:sz="0" w:space="0" w:color="auto"/>
        <w:bottom w:val="none" w:sz="0" w:space="0" w:color="auto"/>
        <w:right w:val="none" w:sz="0" w:space="0" w:color="auto"/>
      </w:divBdr>
      <w:divsChild>
        <w:div w:id="32120798">
          <w:marLeft w:val="0"/>
          <w:marRight w:val="0"/>
          <w:marTop w:val="0"/>
          <w:marBottom w:val="0"/>
          <w:divBdr>
            <w:top w:val="none" w:sz="0" w:space="0" w:color="auto"/>
            <w:left w:val="none" w:sz="0" w:space="0" w:color="auto"/>
            <w:bottom w:val="none" w:sz="0" w:space="0" w:color="auto"/>
            <w:right w:val="none" w:sz="0" w:space="0" w:color="auto"/>
          </w:divBdr>
          <w:divsChild>
            <w:div w:id="1701010035">
              <w:marLeft w:val="0"/>
              <w:marRight w:val="0"/>
              <w:marTop w:val="0"/>
              <w:marBottom w:val="0"/>
              <w:divBdr>
                <w:top w:val="none" w:sz="0" w:space="0" w:color="auto"/>
                <w:left w:val="none" w:sz="0" w:space="0" w:color="auto"/>
                <w:bottom w:val="none" w:sz="0" w:space="0" w:color="auto"/>
                <w:right w:val="none" w:sz="0" w:space="0" w:color="auto"/>
              </w:divBdr>
              <w:divsChild>
                <w:div w:id="1923299531">
                  <w:marLeft w:val="0"/>
                  <w:marRight w:val="0"/>
                  <w:marTop w:val="0"/>
                  <w:marBottom w:val="0"/>
                  <w:divBdr>
                    <w:top w:val="none" w:sz="0" w:space="0" w:color="auto"/>
                    <w:left w:val="none" w:sz="0" w:space="0" w:color="auto"/>
                    <w:bottom w:val="none" w:sz="0" w:space="0" w:color="auto"/>
                    <w:right w:val="none" w:sz="0" w:space="0" w:color="auto"/>
                  </w:divBdr>
                  <w:divsChild>
                    <w:div w:id="1391885494">
                      <w:marLeft w:val="0"/>
                      <w:marRight w:val="0"/>
                      <w:marTop w:val="0"/>
                      <w:marBottom w:val="450"/>
                      <w:divBdr>
                        <w:top w:val="single" w:sz="6" w:space="0" w:color="005DBA"/>
                        <w:left w:val="none" w:sz="0" w:space="0" w:color="auto"/>
                        <w:bottom w:val="single" w:sz="6" w:space="0" w:color="005DBA"/>
                        <w:right w:val="none" w:sz="0" w:space="0" w:color="auto"/>
                      </w:divBdr>
                      <w:divsChild>
                        <w:div w:id="232014458">
                          <w:marLeft w:val="0"/>
                          <w:marRight w:val="0"/>
                          <w:marTop w:val="0"/>
                          <w:marBottom w:val="0"/>
                          <w:divBdr>
                            <w:top w:val="single" w:sz="24" w:space="15" w:color="FFFFFF"/>
                            <w:left w:val="none" w:sz="0" w:space="0" w:color="auto"/>
                            <w:bottom w:val="single" w:sz="24" w:space="15" w:color="FFFFFF"/>
                            <w:right w:val="none" w:sz="0" w:space="0" w:color="auto"/>
                          </w:divBdr>
                          <w:divsChild>
                            <w:div w:id="259261040">
                              <w:marLeft w:val="0"/>
                              <w:marRight w:val="0"/>
                              <w:marTop w:val="0"/>
                              <w:marBottom w:val="75"/>
                              <w:divBdr>
                                <w:top w:val="none" w:sz="0" w:space="0" w:color="auto"/>
                                <w:left w:val="none" w:sz="0" w:space="0" w:color="auto"/>
                                <w:bottom w:val="none" w:sz="0" w:space="0" w:color="auto"/>
                                <w:right w:val="none" w:sz="0" w:space="0" w:color="auto"/>
                              </w:divBdr>
                              <w:divsChild>
                                <w:div w:id="1016611238">
                                  <w:marLeft w:val="0"/>
                                  <w:marRight w:val="0"/>
                                  <w:marTop w:val="0"/>
                                  <w:marBottom w:val="0"/>
                                  <w:divBdr>
                                    <w:top w:val="none" w:sz="0" w:space="0" w:color="auto"/>
                                    <w:left w:val="none" w:sz="0" w:space="0" w:color="auto"/>
                                    <w:bottom w:val="none" w:sz="0" w:space="0" w:color="auto"/>
                                    <w:right w:val="none" w:sz="0" w:space="0" w:color="auto"/>
                                  </w:divBdr>
                                  <w:divsChild>
                                    <w:div w:id="2066297080">
                                      <w:marLeft w:val="0"/>
                                      <w:marRight w:val="0"/>
                                      <w:marTop w:val="0"/>
                                      <w:marBottom w:val="0"/>
                                      <w:divBdr>
                                        <w:top w:val="none" w:sz="0" w:space="0" w:color="auto"/>
                                        <w:left w:val="none" w:sz="0" w:space="0" w:color="auto"/>
                                        <w:bottom w:val="none" w:sz="0" w:space="0" w:color="auto"/>
                                        <w:right w:val="none" w:sz="0" w:space="0" w:color="auto"/>
                                      </w:divBdr>
                                      <w:divsChild>
                                        <w:div w:id="1211458691">
                                          <w:marLeft w:val="0"/>
                                          <w:marRight w:val="0"/>
                                          <w:marTop w:val="0"/>
                                          <w:marBottom w:val="75"/>
                                          <w:divBdr>
                                            <w:top w:val="none" w:sz="0" w:space="0" w:color="auto"/>
                                            <w:left w:val="none" w:sz="0" w:space="0" w:color="auto"/>
                                            <w:bottom w:val="none" w:sz="0" w:space="0" w:color="auto"/>
                                            <w:right w:val="none" w:sz="0" w:space="0" w:color="auto"/>
                                          </w:divBdr>
                                        </w:div>
                                        <w:div w:id="5499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305518">
      <w:bodyDiv w:val="1"/>
      <w:marLeft w:val="0"/>
      <w:marRight w:val="0"/>
      <w:marTop w:val="0"/>
      <w:marBottom w:val="0"/>
      <w:divBdr>
        <w:top w:val="none" w:sz="0" w:space="0" w:color="auto"/>
        <w:left w:val="none" w:sz="0" w:space="0" w:color="auto"/>
        <w:bottom w:val="none" w:sz="0" w:space="0" w:color="auto"/>
        <w:right w:val="none" w:sz="0" w:space="0" w:color="auto"/>
      </w:divBdr>
      <w:divsChild>
        <w:div w:id="948464652">
          <w:marLeft w:val="0"/>
          <w:marRight w:val="0"/>
          <w:marTop w:val="0"/>
          <w:marBottom w:val="0"/>
          <w:divBdr>
            <w:top w:val="none" w:sz="0" w:space="0" w:color="auto"/>
            <w:left w:val="none" w:sz="0" w:space="0" w:color="auto"/>
            <w:bottom w:val="none" w:sz="0" w:space="0" w:color="auto"/>
            <w:right w:val="none" w:sz="0" w:space="0" w:color="auto"/>
          </w:divBdr>
          <w:divsChild>
            <w:div w:id="1193768156">
              <w:marLeft w:val="0"/>
              <w:marRight w:val="0"/>
              <w:marTop w:val="0"/>
              <w:marBottom w:val="0"/>
              <w:divBdr>
                <w:top w:val="none" w:sz="0" w:space="0" w:color="auto"/>
                <w:left w:val="none" w:sz="0" w:space="0" w:color="auto"/>
                <w:bottom w:val="none" w:sz="0" w:space="0" w:color="auto"/>
                <w:right w:val="none" w:sz="0" w:space="0" w:color="auto"/>
              </w:divBdr>
              <w:divsChild>
                <w:div w:id="334037120">
                  <w:marLeft w:val="0"/>
                  <w:marRight w:val="0"/>
                  <w:marTop w:val="0"/>
                  <w:marBottom w:val="0"/>
                  <w:divBdr>
                    <w:top w:val="none" w:sz="0" w:space="0" w:color="auto"/>
                    <w:left w:val="none" w:sz="0" w:space="0" w:color="auto"/>
                    <w:bottom w:val="none" w:sz="0" w:space="0" w:color="auto"/>
                    <w:right w:val="none" w:sz="0" w:space="0" w:color="auto"/>
                  </w:divBdr>
                  <w:divsChild>
                    <w:div w:id="1586526527">
                      <w:marLeft w:val="0"/>
                      <w:marRight w:val="0"/>
                      <w:marTop w:val="0"/>
                      <w:marBottom w:val="450"/>
                      <w:divBdr>
                        <w:top w:val="single" w:sz="6" w:space="0" w:color="005DBA"/>
                        <w:left w:val="none" w:sz="0" w:space="0" w:color="auto"/>
                        <w:bottom w:val="single" w:sz="6" w:space="0" w:color="005DBA"/>
                        <w:right w:val="none" w:sz="0" w:space="0" w:color="auto"/>
                      </w:divBdr>
                      <w:divsChild>
                        <w:div w:id="312880390">
                          <w:marLeft w:val="0"/>
                          <w:marRight w:val="0"/>
                          <w:marTop w:val="0"/>
                          <w:marBottom w:val="0"/>
                          <w:divBdr>
                            <w:top w:val="single" w:sz="24" w:space="15" w:color="FFFFFF"/>
                            <w:left w:val="none" w:sz="0" w:space="0" w:color="auto"/>
                            <w:bottom w:val="single" w:sz="24" w:space="15" w:color="FFFFFF"/>
                            <w:right w:val="none" w:sz="0" w:space="0" w:color="auto"/>
                          </w:divBdr>
                          <w:divsChild>
                            <w:div w:id="680165055">
                              <w:marLeft w:val="0"/>
                              <w:marRight w:val="0"/>
                              <w:marTop w:val="0"/>
                              <w:marBottom w:val="75"/>
                              <w:divBdr>
                                <w:top w:val="none" w:sz="0" w:space="0" w:color="auto"/>
                                <w:left w:val="none" w:sz="0" w:space="0" w:color="auto"/>
                                <w:bottom w:val="none" w:sz="0" w:space="0" w:color="auto"/>
                                <w:right w:val="none" w:sz="0" w:space="0" w:color="auto"/>
                              </w:divBdr>
                              <w:divsChild>
                                <w:div w:id="150173805">
                                  <w:marLeft w:val="0"/>
                                  <w:marRight w:val="0"/>
                                  <w:marTop w:val="0"/>
                                  <w:marBottom w:val="0"/>
                                  <w:divBdr>
                                    <w:top w:val="none" w:sz="0" w:space="0" w:color="auto"/>
                                    <w:left w:val="none" w:sz="0" w:space="0" w:color="auto"/>
                                    <w:bottom w:val="none" w:sz="0" w:space="0" w:color="auto"/>
                                    <w:right w:val="none" w:sz="0" w:space="0" w:color="auto"/>
                                  </w:divBdr>
                                  <w:divsChild>
                                    <w:div w:id="23337736">
                                      <w:marLeft w:val="0"/>
                                      <w:marRight w:val="0"/>
                                      <w:marTop w:val="0"/>
                                      <w:marBottom w:val="0"/>
                                      <w:divBdr>
                                        <w:top w:val="none" w:sz="0" w:space="0" w:color="auto"/>
                                        <w:left w:val="none" w:sz="0" w:space="0" w:color="auto"/>
                                        <w:bottom w:val="none" w:sz="0" w:space="0" w:color="auto"/>
                                        <w:right w:val="none" w:sz="0" w:space="0" w:color="auto"/>
                                      </w:divBdr>
                                      <w:divsChild>
                                        <w:div w:id="71899479">
                                          <w:marLeft w:val="0"/>
                                          <w:marRight w:val="0"/>
                                          <w:marTop w:val="0"/>
                                          <w:marBottom w:val="75"/>
                                          <w:divBdr>
                                            <w:top w:val="none" w:sz="0" w:space="0" w:color="auto"/>
                                            <w:left w:val="none" w:sz="0" w:space="0" w:color="auto"/>
                                            <w:bottom w:val="none" w:sz="0" w:space="0" w:color="auto"/>
                                            <w:right w:val="none" w:sz="0" w:space="0" w:color="auto"/>
                                          </w:divBdr>
                                        </w:div>
                                        <w:div w:id="4995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234703">
      <w:bodyDiv w:val="1"/>
      <w:marLeft w:val="0"/>
      <w:marRight w:val="0"/>
      <w:marTop w:val="0"/>
      <w:marBottom w:val="0"/>
      <w:divBdr>
        <w:top w:val="none" w:sz="0" w:space="0" w:color="auto"/>
        <w:left w:val="none" w:sz="0" w:space="0" w:color="auto"/>
        <w:bottom w:val="none" w:sz="0" w:space="0" w:color="auto"/>
        <w:right w:val="none" w:sz="0" w:space="0" w:color="auto"/>
      </w:divBdr>
      <w:divsChild>
        <w:div w:id="1716272351">
          <w:marLeft w:val="0"/>
          <w:marRight w:val="0"/>
          <w:marTop w:val="0"/>
          <w:marBottom w:val="0"/>
          <w:divBdr>
            <w:top w:val="none" w:sz="0" w:space="0" w:color="auto"/>
            <w:left w:val="none" w:sz="0" w:space="0" w:color="auto"/>
            <w:bottom w:val="none" w:sz="0" w:space="0" w:color="auto"/>
            <w:right w:val="none" w:sz="0" w:space="0" w:color="auto"/>
          </w:divBdr>
          <w:divsChild>
            <w:div w:id="87504809">
              <w:marLeft w:val="0"/>
              <w:marRight w:val="0"/>
              <w:marTop w:val="0"/>
              <w:marBottom w:val="0"/>
              <w:divBdr>
                <w:top w:val="none" w:sz="0" w:space="0" w:color="auto"/>
                <w:left w:val="none" w:sz="0" w:space="0" w:color="auto"/>
                <w:bottom w:val="none" w:sz="0" w:space="0" w:color="auto"/>
                <w:right w:val="none" w:sz="0" w:space="0" w:color="auto"/>
              </w:divBdr>
              <w:divsChild>
                <w:div w:id="1498644059">
                  <w:marLeft w:val="0"/>
                  <w:marRight w:val="0"/>
                  <w:marTop w:val="0"/>
                  <w:marBottom w:val="0"/>
                  <w:divBdr>
                    <w:top w:val="none" w:sz="0" w:space="0" w:color="auto"/>
                    <w:left w:val="none" w:sz="0" w:space="0" w:color="auto"/>
                    <w:bottom w:val="none" w:sz="0" w:space="0" w:color="auto"/>
                    <w:right w:val="none" w:sz="0" w:space="0" w:color="auto"/>
                  </w:divBdr>
                  <w:divsChild>
                    <w:div w:id="967248362">
                      <w:marLeft w:val="0"/>
                      <w:marRight w:val="0"/>
                      <w:marTop w:val="0"/>
                      <w:marBottom w:val="450"/>
                      <w:divBdr>
                        <w:top w:val="single" w:sz="6" w:space="0" w:color="005DBA"/>
                        <w:left w:val="none" w:sz="0" w:space="0" w:color="auto"/>
                        <w:bottom w:val="single" w:sz="6" w:space="0" w:color="005DBA"/>
                        <w:right w:val="none" w:sz="0" w:space="0" w:color="auto"/>
                      </w:divBdr>
                      <w:divsChild>
                        <w:div w:id="1669477888">
                          <w:marLeft w:val="0"/>
                          <w:marRight w:val="0"/>
                          <w:marTop w:val="0"/>
                          <w:marBottom w:val="0"/>
                          <w:divBdr>
                            <w:top w:val="single" w:sz="24" w:space="15" w:color="FFFFFF"/>
                            <w:left w:val="none" w:sz="0" w:space="0" w:color="auto"/>
                            <w:bottom w:val="single" w:sz="24" w:space="15" w:color="FFFFFF"/>
                            <w:right w:val="none" w:sz="0" w:space="0" w:color="auto"/>
                          </w:divBdr>
                          <w:divsChild>
                            <w:div w:id="196552072">
                              <w:marLeft w:val="0"/>
                              <w:marRight w:val="0"/>
                              <w:marTop w:val="0"/>
                              <w:marBottom w:val="75"/>
                              <w:divBdr>
                                <w:top w:val="none" w:sz="0" w:space="0" w:color="auto"/>
                                <w:left w:val="none" w:sz="0" w:space="0" w:color="auto"/>
                                <w:bottom w:val="none" w:sz="0" w:space="0" w:color="auto"/>
                                <w:right w:val="none" w:sz="0" w:space="0" w:color="auto"/>
                              </w:divBdr>
                              <w:divsChild>
                                <w:div w:id="648705593">
                                  <w:marLeft w:val="0"/>
                                  <w:marRight w:val="0"/>
                                  <w:marTop w:val="0"/>
                                  <w:marBottom w:val="0"/>
                                  <w:divBdr>
                                    <w:top w:val="none" w:sz="0" w:space="0" w:color="auto"/>
                                    <w:left w:val="none" w:sz="0" w:space="0" w:color="auto"/>
                                    <w:bottom w:val="none" w:sz="0" w:space="0" w:color="auto"/>
                                    <w:right w:val="none" w:sz="0" w:space="0" w:color="auto"/>
                                  </w:divBdr>
                                  <w:divsChild>
                                    <w:div w:id="1585722102">
                                      <w:marLeft w:val="0"/>
                                      <w:marRight w:val="0"/>
                                      <w:marTop w:val="0"/>
                                      <w:marBottom w:val="0"/>
                                      <w:divBdr>
                                        <w:top w:val="none" w:sz="0" w:space="0" w:color="auto"/>
                                        <w:left w:val="none" w:sz="0" w:space="0" w:color="auto"/>
                                        <w:bottom w:val="none" w:sz="0" w:space="0" w:color="auto"/>
                                        <w:right w:val="none" w:sz="0" w:space="0" w:color="auto"/>
                                      </w:divBdr>
                                      <w:divsChild>
                                        <w:div w:id="1437677910">
                                          <w:marLeft w:val="0"/>
                                          <w:marRight w:val="0"/>
                                          <w:marTop w:val="0"/>
                                          <w:marBottom w:val="75"/>
                                          <w:divBdr>
                                            <w:top w:val="none" w:sz="0" w:space="0" w:color="auto"/>
                                            <w:left w:val="none" w:sz="0" w:space="0" w:color="auto"/>
                                            <w:bottom w:val="none" w:sz="0" w:space="0" w:color="auto"/>
                                            <w:right w:val="none" w:sz="0" w:space="0" w:color="auto"/>
                                          </w:divBdr>
                                        </w:div>
                                        <w:div w:id="106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511892">
      <w:bodyDiv w:val="1"/>
      <w:marLeft w:val="0"/>
      <w:marRight w:val="0"/>
      <w:marTop w:val="0"/>
      <w:marBottom w:val="0"/>
      <w:divBdr>
        <w:top w:val="none" w:sz="0" w:space="0" w:color="auto"/>
        <w:left w:val="none" w:sz="0" w:space="0" w:color="auto"/>
        <w:bottom w:val="none" w:sz="0" w:space="0" w:color="auto"/>
        <w:right w:val="none" w:sz="0" w:space="0" w:color="auto"/>
      </w:divBdr>
      <w:divsChild>
        <w:div w:id="1135179837">
          <w:marLeft w:val="0"/>
          <w:marRight w:val="0"/>
          <w:marTop w:val="0"/>
          <w:marBottom w:val="0"/>
          <w:divBdr>
            <w:top w:val="none" w:sz="0" w:space="0" w:color="auto"/>
            <w:left w:val="none" w:sz="0" w:space="0" w:color="auto"/>
            <w:bottom w:val="none" w:sz="0" w:space="0" w:color="auto"/>
            <w:right w:val="none" w:sz="0" w:space="0" w:color="auto"/>
          </w:divBdr>
          <w:divsChild>
            <w:div w:id="1889994594">
              <w:marLeft w:val="0"/>
              <w:marRight w:val="0"/>
              <w:marTop w:val="0"/>
              <w:marBottom w:val="0"/>
              <w:divBdr>
                <w:top w:val="none" w:sz="0" w:space="0" w:color="auto"/>
                <w:left w:val="none" w:sz="0" w:space="0" w:color="auto"/>
                <w:bottom w:val="none" w:sz="0" w:space="0" w:color="auto"/>
                <w:right w:val="none" w:sz="0" w:space="0" w:color="auto"/>
              </w:divBdr>
              <w:divsChild>
                <w:div w:id="1154949158">
                  <w:marLeft w:val="0"/>
                  <w:marRight w:val="0"/>
                  <w:marTop w:val="0"/>
                  <w:marBottom w:val="0"/>
                  <w:divBdr>
                    <w:top w:val="none" w:sz="0" w:space="0" w:color="auto"/>
                    <w:left w:val="none" w:sz="0" w:space="0" w:color="auto"/>
                    <w:bottom w:val="none" w:sz="0" w:space="0" w:color="auto"/>
                    <w:right w:val="none" w:sz="0" w:space="0" w:color="auto"/>
                  </w:divBdr>
                  <w:divsChild>
                    <w:div w:id="87965982">
                      <w:marLeft w:val="0"/>
                      <w:marRight w:val="0"/>
                      <w:marTop w:val="0"/>
                      <w:marBottom w:val="450"/>
                      <w:divBdr>
                        <w:top w:val="single" w:sz="6" w:space="0" w:color="005DBA"/>
                        <w:left w:val="none" w:sz="0" w:space="0" w:color="auto"/>
                        <w:bottom w:val="single" w:sz="6" w:space="0" w:color="005DBA"/>
                        <w:right w:val="none" w:sz="0" w:space="0" w:color="auto"/>
                      </w:divBdr>
                      <w:divsChild>
                        <w:div w:id="1315837623">
                          <w:marLeft w:val="0"/>
                          <w:marRight w:val="0"/>
                          <w:marTop w:val="0"/>
                          <w:marBottom w:val="0"/>
                          <w:divBdr>
                            <w:top w:val="single" w:sz="24" w:space="15" w:color="FFFFFF"/>
                            <w:left w:val="none" w:sz="0" w:space="0" w:color="auto"/>
                            <w:bottom w:val="single" w:sz="24" w:space="15" w:color="FFFFFF"/>
                            <w:right w:val="none" w:sz="0" w:space="0" w:color="auto"/>
                          </w:divBdr>
                          <w:divsChild>
                            <w:div w:id="511379128">
                              <w:marLeft w:val="0"/>
                              <w:marRight w:val="0"/>
                              <w:marTop w:val="0"/>
                              <w:marBottom w:val="75"/>
                              <w:divBdr>
                                <w:top w:val="none" w:sz="0" w:space="0" w:color="auto"/>
                                <w:left w:val="none" w:sz="0" w:space="0" w:color="auto"/>
                                <w:bottom w:val="none" w:sz="0" w:space="0" w:color="auto"/>
                                <w:right w:val="none" w:sz="0" w:space="0" w:color="auto"/>
                              </w:divBdr>
                              <w:divsChild>
                                <w:div w:id="97603947">
                                  <w:marLeft w:val="0"/>
                                  <w:marRight w:val="0"/>
                                  <w:marTop w:val="0"/>
                                  <w:marBottom w:val="0"/>
                                  <w:divBdr>
                                    <w:top w:val="none" w:sz="0" w:space="0" w:color="auto"/>
                                    <w:left w:val="none" w:sz="0" w:space="0" w:color="auto"/>
                                    <w:bottom w:val="none" w:sz="0" w:space="0" w:color="auto"/>
                                    <w:right w:val="none" w:sz="0" w:space="0" w:color="auto"/>
                                  </w:divBdr>
                                  <w:divsChild>
                                    <w:div w:id="1248004931">
                                      <w:marLeft w:val="0"/>
                                      <w:marRight w:val="0"/>
                                      <w:marTop w:val="0"/>
                                      <w:marBottom w:val="0"/>
                                      <w:divBdr>
                                        <w:top w:val="none" w:sz="0" w:space="0" w:color="auto"/>
                                        <w:left w:val="none" w:sz="0" w:space="0" w:color="auto"/>
                                        <w:bottom w:val="none" w:sz="0" w:space="0" w:color="auto"/>
                                        <w:right w:val="none" w:sz="0" w:space="0" w:color="auto"/>
                                      </w:divBdr>
                                      <w:divsChild>
                                        <w:div w:id="103810942">
                                          <w:marLeft w:val="0"/>
                                          <w:marRight w:val="0"/>
                                          <w:marTop w:val="0"/>
                                          <w:marBottom w:val="75"/>
                                          <w:divBdr>
                                            <w:top w:val="none" w:sz="0" w:space="0" w:color="auto"/>
                                            <w:left w:val="none" w:sz="0" w:space="0" w:color="auto"/>
                                            <w:bottom w:val="none" w:sz="0" w:space="0" w:color="auto"/>
                                            <w:right w:val="none" w:sz="0" w:space="0" w:color="auto"/>
                                          </w:divBdr>
                                        </w:div>
                                        <w:div w:id="20535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Nichols</dc:creator>
  <cp:keywords/>
  <dc:description/>
  <cp:lastModifiedBy>Lynn Nichols</cp:lastModifiedBy>
  <cp:revision>3</cp:revision>
  <dcterms:created xsi:type="dcterms:W3CDTF">2014-05-11T14:25:00Z</dcterms:created>
  <dcterms:modified xsi:type="dcterms:W3CDTF">2014-05-11T14:29:00Z</dcterms:modified>
</cp:coreProperties>
</file>